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2027F">
      <w:pPr>
        <w:pStyle w:val="6"/>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附件2：</w:t>
      </w:r>
      <w:bookmarkStart w:id="0" w:name="_GoBack"/>
      <w:bookmarkEnd w:id="0"/>
    </w:p>
    <w:p w14:paraId="3CC4E16E">
      <w:pPr>
        <w:pStyle w:val="2"/>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图木舒克经济技术开发区</w:t>
      </w:r>
      <w:r>
        <w:rPr>
          <w:rFonts w:hint="eastAsia" w:ascii="方正小标宋简体" w:hAnsi="方正小标宋简体" w:eastAsia="方正小标宋简体" w:cs="方正小标宋简体"/>
          <w:b w:val="0"/>
          <w:bCs w:val="0"/>
          <w:sz w:val="44"/>
          <w:szCs w:val="44"/>
          <w:lang w:val="en-US" w:eastAsia="zh-CN"/>
        </w:rPr>
        <w:t>介绍</w:t>
      </w:r>
    </w:p>
    <w:p w14:paraId="3B1D26F3">
      <w:pPr>
        <w:pStyle w:val="2"/>
        <w:keepNext w:val="0"/>
        <w:keepLines w:val="0"/>
        <w:pageBreakBefore w:val="0"/>
        <w:widowControl/>
        <w:kinsoku/>
        <w:wordWrap/>
        <w:overflowPunct/>
        <w:topLinePunct w:val="0"/>
        <w:autoSpaceDE/>
        <w:autoSpaceDN/>
        <w:bidi w:val="0"/>
        <w:adjustRightInd/>
        <w:snapToGrid/>
        <w:spacing w:line="460" w:lineRule="exact"/>
        <w:ind w:firstLine="641"/>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图木舒克经济技术开发区（简称“图木舒克经开区”）是新疆维吾尔自治区图木舒克市的重要经济平台，始建于2010年7月，为兵团级开发区，总规划面积69.526平方公里，采用“一区四园”布局，重点发展纺织服装、食品加工、电子信息、新型建材、仓储物流、装备制造和化工等产业。‌</w:t>
      </w:r>
    </w:p>
    <w:p w14:paraId="2CA8C154">
      <w:pPr>
        <w:pStyle w:val="2"/>
        <w:keepNext w:val="0"/>
        <w:keepLines w:val="0"/>
        <w:pageBreakBefore w:val="0"/>
        <w:widowControl/>
        <w:kinsoku/>
        <w:wordWrap/>
        <w:overflowPunct/>
        <w:topLinePunct w:val="0"/>
        <w:autoSpaceDE/>
        <w:autoSpaceDN/>
        <w:bidi w:val="0"/>
        <w:adjustRightInd/>
        <w:snapToGrid/>
        <w:spacing w:line="460" w:lineRule="exact"/>
        <w:ind w:firstLine="641"/>
        <w:jc w:val="left"/>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图木舒克市经济开发区 以大数据、云计算、物联网为代表的新一代信息技术产业；以航空航天、高端装备为代表的特色产业以及以新能源、生物医药等为代表的新兴产业已经形成产业集群，重点发展电子信息、生物医药、智能装备、汽车零部件、新材料等主导产业。成为推动高质量发展的创新能极。园区加快特色转型，融入了新一代信息技术发展的时代浪潮。面对高质量发展中遇到的困难挑战， 图木舒克市经济开发区 敢想敢闯敢试，园区自成立之日起便被赋予了开放包容的精神禀赋，始终保持开放的胸怀，在招商引资、经济运行、基础开发、园区合作、基层管理等方面开发区始终秉承着全心全意为企业服务的理念，全力推进外资、外贸、外包齐头并进，对先进产业、先进技术、先进管理，园区始终突出开放的平台，为企业更好更快发展提供了有力支撑。</w:t>
      </w:r>
    </w:p>
    <w:p w14:paraId="6FF520E5">
      <w:pPr>
        <w:pStyle w:val="2"/>
        <w:keepNext w:val="0"/>
        <w:keepLines w:val="0"/>
        <w:pageBreakBefore w:val="0"/>
        <w:widowControl/>
        <w:kinsoku/>
        <w:wordWrap/>
        <w:overflowPunct/>
        <w:topLinePunct w:val="0"/>
        <w:autoSpaceDE/>
        <w:autoSpaceDN/>
        <w:bidi w:val="0"/>
        <w:adjustRightInd/>
        <w:snapToGrid/>
        <w:spacing w:line="460" w:lineRule="exact"/>
        <w:ind w:firstLine="641"/>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2024年，图木舒克经开区作为园区主战场、国企主力军和团场主阵地的联动关键，推动基础设施建设和公共服务配套升级，通过统筹规划和连片推进提升承载力与集聚力。例如，达坂山铁路专用线项目竣工通车，有效缓解物流压力并节约运输成本；同时，经开区优化营商环境，实现行政许可事项“一窗受理”、网办率及“最多跑一次”率均达100%，并提供“全程式、跟踪式、保姆式”帮办代办服务，助力企业快速投产达效。‌</w:t>
      </w:r>
    </w:p>
    <w:p w14:paraId="2FE6C17B">
      <w:pPr>
        <w:pStyle w:val="2"/>
        <w:keepNext w:val="0"/>
        <w:keepLines w:val="0"/>
        <w:pageBreakBefore w:val="0"/>
        <w:widowControl/>
        <w:kinsoku/>
        <w:wordWrap/>
        <w:overflowPunct/>
        <w:topLinePunct w:val="0"/>
        <w:autoSpaceDE/>
        <w:autoSpaceDN/>
        <w:bidi w:val="0"/>
        <w:adjustRightInd/>
        <w:snapToGrid/>
        <w:spacing w:line="460" w:lineRule="exact"/>
        <w:ind w:firstLine="641"/>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国企在经开区发展中发挥主力军作用，如图木舒克城市投资集团有限公司推进天然气管网等项目强化要素保障，新疆前海集团有限责任公司通过引进新设备和技术延伸纺织产业链，从皮棉拓展至纱线、坯布等环节，带动产业集群发展。‌</w:t>
      </w:r>
    </w:p>
    <w:p w14:paraId="4EFEEAD5">
      <w:pPr>
        <w:pStyle w:val="2"/>
        <w:keepNext w:val="0"/>
        <w:keepLines w:val="0"/>
        <w:pageBreakBefore w:val="0"/>
        <w:widowControl/>
        <w:kinsoku/>
        <w:wordWrap/>
        <w:overflowPunct/>
        <w:topLinePunct w:val="0"/>
        <w:autoSpaceDE/>
        <w:autoSpaceDN/>
        <w:bidi w:val="0"/>
        <w:adjustRightInd/>
        <w:snapToGrid/>
        <w:spacing w:line="460" w:lineRule="exact"/>
        <w:ind w:firstLine="641"/>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经开区持续完善基础配套，落实兵团“双提升”项目，如启动达坂山工业园印染园区污水处理厂和高盐废水处理厂建设，并探索节约集约用地机制，通过以商招商盘活低效用地企业。‌</w:t>
      </w:r>
    </w:p>
    <w:p w14:paraId="62F79D44">
      <w:pPr>
        <w:pStyle w:val="2"/>
        <w:keepNext w:val="0"/>
        <w:keepLines w:val="0"/>
        <w:pageBreakBefore w:val="0"/>
        <w:widowControl/>
        <w:kinsoku/>
        <w:wordWrap/>
        <w:overflowPunct/>
        <w:topLinePunct w:val="0"/>
        <w:autoSpaceDE/>
        <w:autoSpaceDN/>
        <w:bidi w:val="0"/>
        <w:adjustRightInd/>
        <w:snapToGrid/>
        <w:spacing w:line="460" w:lineRule="exact"/>
        <w:ind w:firstLine="641"/>
        <w:jc w:val="left"/>
        <w:textAlignment w:val="auto"/>
        <w:rPr>
          <w:rFonts w:hint="default" w:ascii="Times New Roman" w:hAnsi="Times New Roman" w:eastAsia="仿宋_GB2312" w:cs="Times New Roman"/>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32A1C"/>
    <w:rsid w:val="0BCB3F5C"/>
    <w:rsid w:val="628E2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2025-12-16T04:31:21Z</dcterms:created>
  <dc:creator>Administrator</dc:creator>
  <cp:lastModifiedBy>市高新协会 祁智蕾</cp:lastModifiedBy>
  <dcterms:modified xsi:type="dcterms:W3CDTF">2025-12-16T04:35:08Z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eyJoZGlkIjoiODViYzE5NzEwNWJkZjc4Yzk3YjFkNzYxNGUwOTQ4NzAiLCJ1c2VySWQiOiIyNjIxNzI0MzQifQ==</vt:lpwstr>
  </property>
  <property fmtid="{D5CDD505-2E9C-101B-9397-08002B2CF9AE}" pid="4" name="ICV">
    <vt:lpwstr>9AEA0324A8814B769A136E1E077C44F0_12</vt:lpwstr>
  </property>
</Properties>
</file>